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D4" w:rsidRDefault="000017D4" w:rsidP="000017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O Y E C T O</w:t>
      </w:r>
    </w:p>
    <w:p w:rsidR="000017D4" w:rsidRDefault="000017D4" w:rsidP="000017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</w:t>
      </w:r>
    </w:p>
    <w:p w:rsidR="000017D4" w:rsidRDefault="000017D4" w:rsidP="000017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O</w:t>
      </w:r>
    </w:p>
    <w:p w:rsidR="00AA03AF" w:rsidRDefault="00AA03AF" w:rsidP="000017D4">
      <w:pPr>
        <w:jc w:val="both"/>
      </w:pPr>
      <w:r w:rsidRPr="000017D4">
        <w:rPr>
          <w:rFonts w:ascii="Arial" w:hAnsi="Arial" w:cs="Arial"/>
          <w:b/>
          <w:sz w:val="24"/>
          <w:szCs w:val="24"/>
        </w:rPr>
        <w:t>POR EL QUE SE REFORMAN</w:t>
      </w:r>
      <w:r w:rsidR="000017D4">
        <w:rPr>
          <w:rFonts w:ascii="Arial" w:hAnsi="Arial" w:cs="Arial"/>
          <w:b/>
          <w:sz w:val="24"/>
          <w:szCs w:val="24"/>
        </w:rPr>
        <w:t xml:space="preserve"> EL ARTÍCULO 22 Y LA FRACCIÓN XXX</w:t>
      </w:r>
      <w:r w:rsidRPr="000017D4">
        <w:rPr>
          <w:rFonts w:ascii="Arial" w:hAnsi="Arial" w:cs="Arial"/>
          <w:b/>
          <w:sz w:val="24"/>
          <w:szCs w:val="24"/>
        </w:rPr>
        <w:t xml:space="preserve"> DEL</w:t>
      </w:r>
      <w:r w:rsidR="000017D4" w:rsidRPr="000017D4">
        <w:rPr>
          <w:rFonts w:ascii="Arial" w:hAnsi="Arial" w:cs="Arial"/>
          <w:b/>
          <w:sz w:val="24"/>
          <w:szCs w:val="24"/>
        </w:rPr>
        <w:t xml:space="preserve"> </w:t>
      </w:r>
      <w:r w:rsidR="000017D4">
        <w:rPr>
          <w:rFonts w:ascii="Arial" w:hAnsi="Arial" w:cs="Arial"/>
          <w:b/>
          <w:sz w:val="24"/>
          <w:szCs w:val="24"/>
        </w:rPr>
        <w:t>ARTÍ</w:t>
      </w:r>
      <w:r w:rsidRPr="000017D4">
        <w:rPr>
          <w:rFonts w:ascii="Arial" w:hAnsi="Arial" w:cs="Arial"/>
          <w:b/>
          <w:sz w:val="24"/>
          <w:szCs w:val="24"/>
        </w:rPr>
        <w:t>CULO 73 DE LA CONSTITUCIÓN POLÍTICA DE LOS ESTADOS</w:t>
      </w:r>
      <w:r w:rsidR="000017D4" w:rsidRPr="000017D4">
        <w:rPr>
          <w:rFonts w:ascii="Arial" w:hAnsi="Arial" w:cs="Arial"/>
          <w:b/>
          <w:sz w:val="24"/>
          <w:szCs w:val="24"/>
        </w:rPr>
        <w:t xml:space="preserve"> </w:t>
      </w:r>
      <w:r w:rsidRPr="000017D4">
        <w:rPr>
          <w:rFonts w:ascii="Arial" w:hAnsi="Arial" w:cs="Arial"/>
          <w:b/>
          <w:sz w:val="24"/>
          <w:szCs w:val="24"/>
        </w:rPr>
        <w:t>UNIDOS MEXICANOS, EN MATERIA DE EXTINCIÓN DE DOMINIO</w:t>
      </w:r>
      <w:r>
        <w:t>.</w:t>
      </w:r>
    </w:p>
    <w:p w:rsidR="00AA03AF" w:rsidRDefault="00AA03AF" w:rsidP="00AA03AF"/>
    <w:p w:rsidR="00AA03AF" w:rsidRPr="000017D4" w:rsidRDefault="00AA03AF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 xml:space="preserve">Artículo </w:t>
      </w:r>
      <w:r w:rsidR="000017D4" w:rsidRPr="000017D4">
        <w:rPr>
          <w:rFonts w:ascii="Arial" w:hAnsi="Arial" w:cs="Arial"/>
          <w:b/>
          <w:sz w:val="24"/>
          <w:szCs w:val="24"/>
        </w:rPr>
        <w:t>Único</w:t>
      </w:r>
      <w:r w:rsidRPr="000017D4">
        <w:rPr>
          <w:rFonts w:ascii="Arial" w:hAnsi="Arial" w:cs="Arial"/>
          <w:b/>
          <w:sz w:val="24"/>
          <w:szCs w:val="24"/>
        </w:rPr>
        <w:t>.-</w:t>
      </w:r>
      <w:r w:rsidRPr="000017D4">
        <w:rPr>
          <w:rFonts w:ascii="Arial" w:hAnsi="Arial" w:cs="Arial"/>
          <w:sz w:val="24"/>
          <w:szCs w:val="24"/>
        </w:rPr>
        <w:t xml:space="preserve"> Se reforman los artículos 22, segundo párrafo y 73, fracción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 xml:space="preserve">XXX, y se adicionan un tercer, cuarto y quinto párrafos al </w:t>
      </w:r>
      <w:r w:rsidR="000017D4" w:rsidRPr="000017D4">
        <w:rPr>
          <w:rFonts w:ascii="Arial" w:hAnsi="Arial" w:cs="Arial"/>
          <w:sz w:val="24"/>
          <w:szCs w:val="24"/>
        </w:rPr>
        <w:t>artículo</w:t>
      </w:r>
      <w:r w:rsidRPr="000017D4">
        <w:rPr>
          <w:rFonts w:ascii="Arial" w:hAnsi="Arial" w:cs="Arial"/>
          <w:sz w:val="24"/>
          <w:szCs w:val="24"/>
        </w:rPr>
        <w:t xml:space="preserve"> 22 de la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 xml:space="preserve">Constitución </w:t>
      </w:r>
      <w:r w:rsidR="000017D4" w:rsidRPr="000017D4">
        <w:rPr>
          <w:rFonts w:ascii="Arial" w:hAnsi="Arial" w:cs="Arial"/>
          <w:sz w:val="24"/>
          <w:szCs w:val="24"/>
        </w:rPr>
        <w:t>Política</w:t>
      </w:r>
      <w:r w:rsidRPr="000017D4">
        <w:rPr>
          <w:rFonts w:ascii="Arial" w:hAnsi="Arial" w:cs="Arial"/>
          <w:sz w:val="24"/>
          <w:szCs w:val="24"/>
        </w:rPr>
        <w:t xml:space="preserve"> de los Estados Unidos Mexicanos, para quedar como sigue:</w:t>
      </w:r>
    </w:p>
    <w:p w:rsidR="00AA03AF" w:rsidRPr="000017D4" w:rsidRDefault="00AA03AF" w:rsidP="00AA03AF">
      <w:pPr>
        <w:rPr>
          <w:rFonts w:ascii="Arial" w:hAnsi="Arial" w:cs="Arial"/>
          <w:b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Artículo 22...</w:t>
      </w:r>
    </w:p>
    <w:p w:rsidR="00AA03AF" w:rsidRPr="000017D4" w:rsidRDefault="00AA03AF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sz w:val="24"/>
          <w:szCs w:val="24"/>
        </w:rPr>
        <w:t>No se considerará confiscación la aplicación de bienes de una persona cuando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sea decretada para el pago de multas o impuestos, ni cuando la decrete la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autoridad judicial para el pago de responsabilidad civil derivada de la comisión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de un delito. Tampoco se considerará confiscación el decomiso que ordene la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autoridad judicial de los bienes en caso de enriquecimiento ilícito en los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términos del artículo 109, la aplicación a favor del Estado de bienes asegurados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que causen abandono en los términos de las disposiciones aplicables, ni de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aquellos bienes cuyo dominio se declare extinto en sentencia.</w:t>
      </w:r>
    </w:p>
    <w:p w:rsidR="00AA03AF" w:rsidRPr="000017D4" w:rsidRDefault="00AA03AF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sz w:val="24"/>
          <w:szCs w:val="24"/>
        </w:rPr>
        <w:t>La acción de extinción de dominio se ejercitará por el Ministerio Público a través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 xml:space="preserve">de un procedimiento jurisdiccional de naturaleza civil y </w:t>
      </w:r>
      <w:r w:rsidR="000017D4" w:rsidRPr="000017D4">
        <w:rPr>
          <w:rFonts w:ascii="Arial" w:hAnsi="Arial" w:cs="Arial"/>
          <w:sz w:val="24"/>
          <w:szCs w:val="24"/>
        </w:rPr>
        <w:t>autónoma</w:t>
      </w:r>
      <w:r w:rsidRPr="000017D4">
        <w:rPr>
          <w:rFonts w:ascii="Arial" w:hAnsi="Arial" w:cs="Arial"/>
          <w:sz w:val="24"/>
          <w:szCs w:val="24"/>
        </w:rPr>
        <w:t xml:space="preserve"> del penal. Las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autoridades competentes de los distintos órdenes de gobierno le prestarán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auxilio en el cumplimiento de esta función. La Ley establecerá los mecanismos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para que las autoridades administren los bienes sujetos al proceso de extinción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de dominio, incluidos sus productos, rendimientos, frutos y accesorios, para que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la autoridad lleve a cabo su disposición, uso, usufructo, enajenación y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monetización, atendiendo al interés público, y defina con criterios de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oportunidad el destino y, en su caso, la destrucción de los mismos.</w:t>
      </w:r>
    </w:p>
    <w:p w:rsidR="00AA03AF" w:rsidRPr="000017D4" w:rsidRDefault="00AA03AF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sz w:val="24"/>
          <w:szCs w:val="24"/>
        </w:rPr>
        <w:t>Será procedente sobre bienes de carácter patrimonial cuya legítima procedencia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no pueda acreditarse y se encuentren relacionados con las investigaciones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derivadas de hechos de corrupción, encubrimiento, delitos cometidos por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servidores públicos, delincuencia organizada, robo de vehículos, recursos de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 xml:space="preserve">procedencia </w:t>
      </w:r>
      <w:r w:rsidR="000017D4" w:rsidRPr="000017D4">
        <w:rPr>
          <w:rFonts w:ascii="Arial" w:hAnsi="Arial" w:cs="Arial"/>
          <w:sz w:val="24"/>
          <w:szCs w:val="24"/>
        </w:rPr>
        <w:t>ilícita</w:t>
      </w:r>
      <w:r w:rsidRPr="000017D4">
        <w:rPr>
          <w:rFonts w:ascii="Arial" w:hAnsi="Arial" w:cs="Arial"/>
          <w:sz w:val="24"/>
          <w:szCs w:val="24"/>
        </w:rPr>
        <w:t>, delitos contra la salud, secuestro, extorsión, trata de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personas y delitos en materia de hidrocarburos, petrolíferos y petroquímicos.</w:t>
      </w:r>
    </w:p>
    <w:p w:rsidR="007D7510" w:rsidRPr="000017D4" w:rsidRDefault="007D7510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sz w:val="24"/>
          <w:szCs w:val="24"/>
        </w:rPr>
        <w:t>A toda persona que se considere afectada, se le deberá garantizar el acceso a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los medios de defensa adecuados para demostrar la procedencia legítima del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bien sujeto al procedimiento.</w:t>
      </w:r>
    </w:p>
    <w:p w:rsidR="007D7510" w:rsidRDefault="007D7510" w:rsidP="007D7510"/>
    <w:p w:rsidR="007D7510" w:rsidRPr="000017D4" w:rsidRDefault="000017D4" w:rsidP="007D7510">
      <w:pPr>
        <w:rPr>
          <w:rFonts w:ascii="Arial" w:hAnsi="Arial" w:cs="Arial"/>
          <w:b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Artículo</w:t>
      </w:r>
      <w:r w:rsidR="007D7510" w:rsidRPr="000017D4">
        <w:rPr>
          <w:rFonts w:ascii="Arial" w:hAnsi="Arial" w:cs="Arial"/>
          <w:b/>
          <w:sz w:val="24"/>
          <w:szCs w:val="24"/>
        </w:rPr>
        <w:t xml:space="preserve"> 73. ..</w:t>
      </w:r>
    </w:p>
    <w:p w:rsidR="007D7510" w:rsidRPr="000017D4" w:rsidRDefault="007D7510" w:rsidP="007D7510">
      <w:pPr>
        <w:rPr>
          <w:rFonts w:ascii="Arial" w:hAnsi="Arial" w:cs="Arial"/>
          <w:sz w:val="24"/>
          <w:szCs w:val="24"/>
        </w:rPr>
      </w:pPr>
    </w:p>
    <w:p w:rsidR="007D7510" w:rsidRPr="000017D4" w:rsidRDefault="000017D4" w:rsidP="007D7510">
      <w:pPr>
        <w:rPr>
          <w:rFonts w:ascii="Arial" w:hAnsi="Arial" w:cs="Arial"/>
          <w:b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a </w:t>
      </w:r>
      <w:r w:rsidRPr="000017D4">
        <w:rPr>
          <w:rFonts w:ascii="Arial" w:hAnsi="Arial" w:cs="Arial"/>
          <w:b/>
          <w:sz w:val="24"/>
          <w:szCs w:val="24"/>
        </w:rPr>
        <w:t>XXIX</w:t>
      </w:r>
      <w:r w:rsidR="007D7510" w:rsidRPr="000017D4">
        <w:rPr>
          <w:rFonts w:ascii="Arial" w:hAnsi="Arial" w:cs="Arial"/>
          <w:b/>
          <w:sz w:val="24"/>
          <w:szCs w:val="24"/>
        </w:rPr>
        <w:t>-Z....</w:t>
      </w:r>
    </w:p>
    <w:p w:rsidR="007D7510" w:rsidRPr="000017D4" w:rsidRDefault="007D7510" w:rsidP="007D7510">
      <w:pPr>
        <w:rPr>
          <w:rFonts w:ascii="Arial" w:hAnsi="Arial" w:cs="Arial"/>
          <w:sz w:val="24"/>
          <w:szCs w:val="24"/>
        </w:rPr>
      </w:pPr>
    </w:p>
    <w:p w:rsidR="007D7510" w:rsidRPr="000017D4" w:rsidRDefault="007D7510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XXX.</w:t>
      </w:r>
      <w:r w:rsidRPr="000017D4">
        <w:rPr>
          <w:rFonts w:ascii="Arial" w:hAnsi="Arial" w:cs="Arial"/>
          <w:sz w:val="24"/>
          <w:szCs w:val="24"/>
        </w:rPr>
        <w:t xml:space="preserve"> Para expedir la legislación única en materia procesal civil y familiar, </w:t>
      </w:r>
      <w:r w:rsidR="000017D4" w:rsidRPr="000017D4">
        <w:rPr>
          <w:rFonts w:ascii="Arial" w:hAnsi="Arial" w:cs="Arial"/>
          <w:sz w:val="24"/>
          <w:szCs w:val="24"/>
        </w:rPr>
        <w:t>así</w:t>
      </w:r>
      <w:r w:rsid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como sobre extinción de dominio en los términos del artículo 22 d</w:t>
      </w:r>
      <w:bookmarkStart w:id="0" w:name="_GoBack"/>
      <w:bookmarkEnd w:id="0"/>
      <w:r w:rsidRPr="000017D4">
        <w:rPr>
          <w:rFonts w:ascii="Arial" w:hAnsi="Arial" w:cs="Arial"/>
          <w:sz w:val="24"/>
          <w:szCs w:val="24"/>
        </w:rPr>
        <w:t>e esta</w:t>
      </w:r>
      <w:r w:rsid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Constitución, y</w:t>
      </w:r>
    </w:p>
    <w:p w:rsidR="007D7510" w:rsidRPr="000017D4" w:rsidRDefault="000017D4" w:rsidP="007D7510">
      <w:pPr>
        <w:rPr>
          <w:rFonts w:ascii="Arial" w:hAnsi="Arial" w:cs="Arial"/>
          <w:b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XXXIX</w:t>
      </w:r>
      <w:proofErr w:type="gramStart"/>
      <w:r w:rsidRPr="000017D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17D4">
        <w:rPr>
          <w:rFonts w:ascii="Arial" w:hAnsi="Arial" w:cs="Arial"/>
          <w:b/>
          <w:sz w:val="24"/>
          <w:szCs w:val="24"/>
        </w:rPr>
        <w:t>…</w:t>
      </w:r>
      <w:proofErr w:type="gramEnd"/>
    </w:p>
    <w:p w:rsidR="000017D4" w:rsidRDefault="000017D4" w:rsidP="007D7510"/>
    <w:p w:rsidR="007D7510" w:rsidRPr="000017D4" w:rsidRDefault="007D7510" w:rsidP="000017D4">
      <w:pPr>
        <w:jc w:val="center"/>
        <w:rPr>
          <w:rFonts w:ascii="Arial" w:hAnsi="Arial" w:cs="Arial"/>
          <w:b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Transitorios</w:t>
      </w:r>
    </w:p>
    <w:p w:rsidR="007D7510" w:rsidRPr="000017D4" w:rsidRDefault="007D7510" w:rsidP="007D7510">
      <w:pPr>
        <w:rPr>
          <w:rFonts w:ascii="Arial" w:hAnsi="Arial" w:cs="Arial"/>
          <w:sz w:val="24"/>
          <w:szCs w:val="24"/>
        </w:rPr>
      </w:pPr>
    </w:p>
    <w:p w:rsidR="007D7510" w:rsidRPr="000017D4" w:rsidRDefault="007D7510" w:rsidP="00E82732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Primero.</w:t>
      </w:r>
      <w:r w:rsidRPr="000017D4">
        <w:rPr>
          <w:rFonts w:ascii="Arial" w:hAnsi="Arial" w:cs="Arial"/>
          <w:sz w:val="24"/>
          <w:szCs w:val="24"/>
        </w:rPr>
        <w:t xml:space="preserve"> El presente Decreto entrará en vigor al día siguiente de su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publicación en el Diario Oficial de la Federación.</w:t>
      </w:r>
    </w:p>
    <w:p w:rsidR="007D7510" w:rsidRPr="000017D4" w:rsidRDefault="007D7510" w:rsidP="00E82732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Segundo.</w:t>
      </w:r>
      <w:r w:rsidRPr="000017D4">
        <w:rPr>
          <w:rFonts w:ascii="Arial" w:hAnsi="Arial" w:cs="Arial"/>
          <w:sz w:val="24"/>
          <w:szCs w:val="24"/>
        </w:rPr>
        <w:t xml:space="preserve"> El Congreso de la Unión, en un plazo de 180 días posteriores al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inicio de vigencia de este Decreto expedirá la legislación nacional única en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materia de extinción de dominio.</w:t>
      </w:r>
    </w:p>
    <w:p w:rsidR="007D7510" w:rsidRDefault="007D7510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 xml:space="preserve">Tercero. </w:t>
      </w:r>
      <w:r w:rsidRPr="000017D4">
        <w:rPr>
          <w:rFonts w:ascii="Arial" w:hAnsi="Arial" w:cs="Arial"/>
          <w:sz w:val="24"/>
          <w:szCs w:val="24"/>
        </w:rPr>
        <w:t>La Ley Federal de Extinción de Dominio, Reglamentaria del artículo 22</w:t>
      </w:r>
      <w:r w:rsid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de la Constitución Política de los Estados Unidos Mexicanos, así como la</w:t>
      </w:r>
      <w:r w:rsid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legislación respectiva del ámbito local, seguirán en vigor hasta en tanto el</w:t>
      </w:r>
      <w:r w:rsid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Congreso de la Unión expida la legislación nacional única en materia de</w:t>
      </w:r>
      <w:r w:rsid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extinción de dominio que ordena el presente Decreto</w:t>
      </w:r>
      <w:r w:rsidR="00E82732">
        <w:rPr>
          <w:rFonts w:ascii="Arial" w:hAnsi="Arial" w:cs="Arial"/>
          <w:sz w:val="24"/>
          <w:szCs w:val="24"/>
        </w:rPr>
        <w:t>.</w:t>
      </w:r>
    </w:p>
    <w:p w:rsidR="000855E3" w:rsidRPr="000017D4" w:rsidRDefault="000855E3" w:rsidP="000017D4">
      <w:pPr>
        <w:jc w:val="both"/>
        <w:rPr>
          <w:rFonts w:ascii="Arial" w:hAnsi="Arial" w:cs="Arial"/>
          <w:sz w:val="24"/>
          <w:szCs w:val="24"/>
        </w:rPr>
      </w:pPr>
      <w:r w:rsidRPr="000017D4">
        <w:rPr>
          <w:rFonts w:ascii="Arial" w:hAnsi="Arial" w:cs="Arial"/>
          <w:b/>
          <w:sz w:val="24"/>
          <w:szCs w:val="24"/>
        </w:rPr>
        <w:t>Cuarto.</w:t>
      </w:r>
      <w:r w:rsidRPr="000017D4">
        <w:rPr>
          <w:rFonts w:ascii="Arial" w:hAnsi="Arial" w:cs="Arial"/>
          <w:sz w:val="24"/>
          <w:szCs w:val="24"/>
        </w:rPr>
        <w:t xml:space="preserve"> Los procesos en materia de extinción de dominio iniciados con</w:t>
      </w:r>
      <w:r w:rsid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fundamento en la legislación federal y local referida en el artículo transitorio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anterior, así como las sentencias dictadas con base en las mismas, no se verán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afectados por la entrada en vigor del presente Decreto, y deberán concluirse y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ejecutarse conforme al orden constitucional y legal vigente al momento de su</w:t>
      </w:r>
      <w:r w:rsidR="000017D4" w:rsidRPr="000017D4">
        <w:rPr>
          <w:rFonts w:ascii="Arial" w:hAnsi="Arial" w:cs="Arial"/>
          <w:sz w:val="24"/>
          <w:szCs w:val="24"/>
        </w:rPr>
        <w:t xml:space="preserve"> </w:t>
      </w:r>
      <w:r w:rsidRPr="000017D4">
        <w:rPr>
          <w:rFonts w:ascii="Arial" w:hAnsi="Arial" w:cs="Arial"/>
          <w:sz w:val="24"/>
          <w:szCs w:val="24"/>
        </w:rPr>
        <w:t>inicio.</w:t>
      </w:r>
    </w:p>
    <w:p w:rsidR="000855E3" w:rsidRDefault="000855E3" w:rsidP="000855E3"/>
    <w:p w:rsidR="000855E3" w:rsidRPr="00E82732" w:rsidRDefault="000855E3" w:rsidP="00E82732">
      <w:pPr>
        <w:jc w:val="both"/>
        <w:rPr>
          <w:rFonts w:ascii="Arial" w:hAnsi="Arial" w:cs="Arial"/>
          <w:sz w:val="24"/>
          <w:szCs w:val="24"/>
        </w:rPr>
      </w:pPr>
      <w:r w:rsidRPr="00E82732">
        <w:rPr>
          <w:rFonts w:ascii="Arial" w:hAnsi="Arial" w:cs="Arial"/>
          <w:sz w:val="24"/>
          <w:szCs w:val="24"/>
        </w:rPr>
        <w:t>SALÓN DE SESIONES DE LA CÁMARA DE DIPUTADOS DEL HONORABLE CONGRESO DE</w:t>
      </w:r>
      <w:r w:rsidR="00E82732">
        <w:rPr>
          <w:rFonts w:ascii="Arial" w:hAnsi="Arial" w:cs="Arial"/>
          <w:sz w:val="24"/>
          <w:szCs w:val="24"/>
        </w:rPr>
        <w:t xml:space="preserve"> </w:t>
      </w:r>
      <w:r w:rsidRPr="00E82732">
        <w:rPr>
          <w:rFonts w:ascii="Arial" w:hAnsi="Arial" w:cs="Arial"/>
          <w:sz w:val="24"/>
          <w:szCs w:val="24"/>
        </w:rPr>
        <w:t>LA UNIÓN.- Ciudad de México, a 18 de diciembre de 2018.</w:t>
      </w:r>
    </w:p>
    <w:p w:rsidR="000855E3" w:rsidRPr="00E82732" w:rsidRDefault="00E82732" w:rsidP="00085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F09D8" wp14:editId="4C1997C2">
                <wp:simplePos x="0" y="0"/>
                <wp:positionH relativeFrom="column">
                  <wp:posOffset>3425190</wp:posOffset>
                </wp:positionH>
                <wp:positionV relativeFrom="paragraph">
                  <wp:posOffset>263525</wp:posOffset>
                </wp:positionV>
                <wp:extent cx="1952625" cy="0"/>
                <wp:effectExtent l="0" t="1905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5BB1F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20.75pt" to="423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8A31F" wp14:editId="5C36AD08">
                <wp:simplePos x="0" y="0"/>
                <wp:positionH relativeFrom="column">
                  <wp:posOffset>329564</wp:posOffset>
                </wp:positionH>
                <wp:positionV relativeFrom="paragraph">
                  <wp:posOffset>263525</wp:posOffset>
                </wp:positionV>
                <wp:extent cx="1952625" cy="0"/>
                <wp:effectExtent l="0" t="1905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F0351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0.75pt" to="179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904C4" wp14:editId="6158AC84">
                <wp:simplePos x="0" y="0"/>
                <wp:positionH relativeFrom="column">
                  <wp:posOffset>3234690</wp:posOffset>
                </wp:positionH>
                <wp:positionV relativeFrom="paragraph">
                  <wp:posOffset>263525</wp:posOffset>
                </wp:positionV>
                <wp:extent cx="2419350" cy="9810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732" w:rsidRPr="00E82732" w:rsidRDefault="00E82732" w:rsidP="00E827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Dip</w:t>
                            </w:r>
                            <w:proofErr w:type="spellEnd"/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Lizeth</w:t>
                            </w:r>
                            <w:proofErr w:type="spellEnd"/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Sánchez García</w:t>
                            </w:r>
                          </w:p>
                          <w:p w:rsidR="00E82732" w:rsidRPr="00E82732" w:rsidRDefault="00E82732" w:rsidP="00E827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Secretaria</w:t>
                            </w:r>
                          </w:p>
                          <w:p w:rsidR="00E82732" w:rsidRDefault="00E82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9904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7pt;margin-top:20.75pt;width:190.5pt;height:7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" fillcolor="white [3212]" strokecolor="white [3212]" strokeweight=".5pt">
                <v:textbox>
                  <w:txbxContent>
                    <w:p w:rsidR="00E82732" w:rsidRPr="00E82732" w:rsidRDefault="00E82732" w:rsidP="00E827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>Dip</w:t>
                      </w:r>
                      <w:proofErr w:type="spellEnd"/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>Lizeth</w:t>
                      </w:r>
                      <w:proofErr w:type="spellEnd"/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Sánchez García</w:t>
                      </w:r>
                    </w:p>
                    <w:p w:rsidR="00E82732" w:rsidRPr="00E82732" w:rsidRDefault="00E82732" w:rsidP="00E827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Secretaria</w:t>
                      </w:r>
                    </w:p>
                    <w:p w:rsidR="00E82732" w:rsidRDefault="00E8273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F3193" wp14:editId="0A7DA448">
                <wp:simplePos x="0" y="0"/>
                <wp:positionH relativeFrom="column">
                  <wp:posOffset>329565</wp:posOffset>
                </wp:positionH>
                <wp:positionV relativeFrom="paragraph">
                  <wp:posOffset>263525</wp:posOffset>
                </wp:positionV>
                <wp:extent cx="1952625" cy="10763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732" w:rsidRPr="00E82732" w:rsidRDefault="00E82732" w:rsidP="00E827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Dip</w:t>
                            </w:r>
                            <w:proofErr w:type="spellEnd"/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Porfirio Muñoz Ledo</w:t>
                            </w:r>
                          </w:p>
                          <w:p w:rsidR="00E82732" w:rsidRPr="00E82732" w:rsidRDefault="00E82732" w:rsidP="00E827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</w:p>
                          <w:p w:rsidR="00E82732" w:rsidRDefault="00E82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F3193" id="Cuadro de texto 1" o:spid="_x0000_s1027" type="#_x0000_t202" style="position:absolute;margin-left:25.95pt;margin-top:20.75pt;width:153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" fillcolor="white [3212]" strokecolor="white [3212]" strokeweight=".5pt">
                <v:textbox>
                  <w:txbxContent>
                    <w:p w:rsidR="00E82732" w:rsidRPr="00E82732" w:rsidRDefault="00E82732" w:rsidP="00E827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>Dip</w:t>
                      </w:r>
                      <w:proofErr w:type="spellEnd"/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>. Porfirio Muñoz Ledo</w:t>
                      </w:r>
                    </w:p>
                    <w:p w:rsidR="00E82732" w:rsidRPr="00E82732" w:rsidRDefault="00E82732" w:rsidP="00E827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732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</w:p>
                    <w:p w:rsidR="00E82732" w:rsidRDefault="00E82732"/>
                  </w:txbxContent>
                </v:textbox>
              </v:shape>
            </w:pict>
          </mc:Fallback>
        </mc:AlternateContent>
      </w:r>
    </w:p>
    <w:p w:rsidR="000855E3" w:rsidRDefault="000855E3" w:rsidP="000855E3"/>
    <w:p w:rsidR="000855E3" w:rsidRDefault="000855E3" w:rsidP="000855E3"/>
    <w:p w:rsidR="000855E3" w:rsidRDefault="000855E3" w:rsidP="000855E3"/>
    <w:sectPr w:rsidR="000855E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F"/>
    <w:rsid w:val="000017D4"/>
    <w:rsid w:val="000855E3"/>
    <w:rsid w:val="007D7510"/>
    <w:rsid w:val="00AA03AF"/>
    <w:rsid w:val="00E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92F1D-66B2-1046-AF41-69B83A9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3</cp:revision>
  <dcterms:created xsi:type="dcterms:W3CDTF">2020-01-24T18:00:00Z</dcterms:created>
  <dcterms:modified xsi:type="dcterms:W3CDTF">2020-01-24T18:17:00Z</dcterms:modified>
</cp:coreProperties>
</file>